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10983</w:t>
      </w:r>
      <w:bookmarkStart w:id="10" w:name="_GoBack"/>
      <w:bookmarkEnd w:id="10"/>
    </w:p>
    <w:bookmarkEnd w:id="2"/>
    <w:p>
      <w:pPr>
        <w:pStyle w:val="19"/>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pStyle w:val="19"/>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 xml:space="preserve">Discussion on </w:t>
      </w:r>
      <w:r>
        <w:rPr>
          <w:rFonts w:hint="eastAsia" w:ascii="Arial" w:hAnsi="Arial"/>
          <w:b/>
          <w:sz w:val="24"/>
          <w:lang w:val="en-US" w:eastAsia="zh-CN"/>
        </w:rPr>
        <w:t xml:space="preserve">SAN </w:t>
      </w:r>
      <w:r>
        <w:rPr>
          <w:rFonts w:hint="eastAsia" w:ascii="Arial" w:hAnsi="Arial"/>
          <w:b/>
          <w:sz w:val="24"/>
          <w:lang w:val="pt-BR"/>
        </w:rPr>
        <w:t>demodulation performance requirements fo</w:t>
      </w:r>
      <w:r>
        <w:rPr>
          <w:rFonts w:hint="eastAsia" w:ascii="Arial" w:hAnsi="Arial"/>
          <w:b/>
          <w:sz w:val="24"/>
          <w:lang w:val="en-US" w:eastAsia="zh-CN"/>
        </w:rPr>
        <w:t>r IoT-NTN</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7.28.6</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#105 meeting, the revised WID of Non-Terrestrial Networks (NTN) for Internet of Things (IoT) Phase 3 was approved in [1], wherein the objectives related to IoT-NTN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bookmarkStart w:id="3" w:name="OLE_LINK19"/>
            <w:bookmarkStart w:id="4" w:name="OLE_LINK20"/>
            <w:r>
              <w:rPr>
                <w:rFonts w:hint="default"/>
                <w:bCs/>
                <w:szCs w:val="20"/>
              </w:rPr>
              <w:t>Support of Capacity enhancements for uplink</w:t>
            </w:r>
            <w:bookmarkEnd w:id="3"/>
          </w:p>
          <w:bookmarkEnd w:id="4"/>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 xml:space="preserve">Study then specify, if beneficial, enhancements to enable </w:t>
            </w:r>
            <w:bookmarkStart w:id="5" w:name="OLE_LINK16"/>
            <w:r>
              <w:rPr>
                <w:rFonts w:hint="default"/>
                <w:bCs/>
                <w:szCs w:val="20"/>
              </w:rPr>
              <w:t xml:space="preserve">multiplexing of multiple UEs </w:t>
            </w:r>
            <w:bookmarkEnd w:id="5"/>
            <w:r>
              <w:rPr>
                <w:rFonts w:hint="default"/>
                <w:bCs/>
                <w:szCs w:val="20"/>
              </w:rPr>
              <w:t>(e.g. up to the min of 4 and the maximum allowed by the existing UL and DL signalling) in a single 3.75 kHz or 15 kHz subcarrier via orthogonal cover codes (</w:t>
            </w:r>
            <w:bookmarkStart w:id="6" w:name="OLE_LINK15"/>
            <w:r>
              <w:rPr>
                <w:rFonts w:hint="default"/>
                <w:bCs/>
                <w:szCs w:val="20"/>
              </w:rPr>
              <w:t>OCC</w:t>
            </w:r>
            <w:bookmarkEnd w:id="6"/>
            <w:r>
              <w:rPr>
                <w:rFonts w:hint="default"/>
                <w:bCs/>
                <w:szCs w:val="20"/>
              </w:rPr>
              <w:t>) for NPUSCH format 1 and NPRACH [RAN1, RAN2, RAN4]</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Multi-tone support for 15 kHz SCS should also be considered</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 xml:space="preserve">Specify necessary signalling, if needed </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i/>
                <w:iCs/>
                <w:szCs w:val="20"/>
              </w:rPr>
            </w:pPr>
            <w:r>
              <w:rPr>
                <w:rFonts w:hint="default"/>
                <w:bCs/>
                <w:szCs w:val="20"/>
              </w:rPr>
              <w:t>Update RF requirements accordingly, if neede</w:t>
            </w:r>
            <w:r>
              <w:rPr>
                <w:rFonts w:hint="eastAsia"/>
                <w:bCs/>
                <w:szCs w:val="20"/>
                <w:lang w:val="en-US" w:eastAsia="zh-CN"/>
              </w:rPr>
              <w:t>d</w:t>
            </w:r>
          </w:p>
          <w:p>
            <w:pPr>
              <w:keepNext w:val="0"/>
              <w:keepLines w:val="0"/>
              <w:widowControl/>
              <w:suppressLineNumbers w:val="0"/>
              <w:overflowPunct w:val="0"/>
              <w:autoSpaceDE w:val="0"/>
              <w:autoSpaceDN w:val="0"/>
              <w:adjustRightInd w:val="0"/>
              <w:spacing w:before="0" w:beforeAutospacing="0" w:after="0" w:afterAutospacing="0"/>
              <w:ind w:left="1080" w:right="0" w:firstLine="720"/>
              <w:textAlignment w:val="baseline"/>
              <w:rPr>
                <w:rFonts w:hint="default"/>
                <w:bCs/>
                <w:i/>
                <w:iCs/>
                <w:szCs w:val="20"/>
              </w:rPr>
            </w:pPr>
            <w:bookmarkStart w:id="7" w:name="OLE_LINK24"/>
            <w:r>
              <w:rPr>
                <w:rFonts w:hint="default"/>
                <w:bCs/>
                <w:szCs w:val="20"/>
              </w:rPr>
              <w:t>Note: Impact of impairment shall be taken into account</w:t>
            </w:r>
            <w:bookmarkEnd w:id="7"/>
          </w:p>
          <w:p>
            <w:pPr>
              <w:keepNext w:val="0"/>
              <w:keepLines w:val="0"/>
              <w:widowControl/>
              <w:numPr>
                <w:ilvl w:val="1"/>
                <w:numId w:val="8"/>
              </w:numPr>
              <w:suppressLineNumbers w:val="0"/>
              <w:tabs>
                <w:tab w:val="left" w:pos="720"/>
              </w:tabs>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 xml:space="preserve">Study and specify, if beneficial the following enhancements to </w:t>
            </w:r>
            <w:bookmarkStart w:id="8" w:name="OLE_LINK26"/>
            <w:r>
              <w:rPr>
                <w:rFonts w:hint="default"/>
                <w:bCs/>
                <w:szCs w:val="20"/>
              </w:rPr>
              <w:t xml:space="preserve">reduce the necessary uplink and downlink signaling to complete an </w:t>
            </w:r>
            <w:bookmarkStart w:id="9" w:name="OLE_LINK14"/>
            <w:r>
              <w:rPr>
                <w:rFonts w:hint="default"/>
                <w:bCs/>
                <w:szCs w:val="20"/>
              </w:rPr>
              <w:t xml:space="preserve">Early Data Transmission </w:t>
            </w:r>
            <w:bookmarkEnd w:id="9"/>
            <w:r>
              <w:rPr>
                <w:rFonts w:hint="default"/>
                <w:bCs/>
                <w:szCs w:val="20"/>
              </w:rPr>
              <w:t xml:space="preserve">(EDT) transaction </w:t>
            </w:r>
            <w:bookmarkEnd w:id="8"/>
            <w:r>
              <w:rPr>
                <w:rFonts w:hint="default"/>
                <w:bCs/>
                <w:szCs w:val="20"/>
              </w:rPr>
              <w:t>[RAN2]:</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Msg3 transmission without msg1/</w:t>
            </w:r>
            <w:r>
              <w:rPr>
                <w:rFonts w:hint="default"/>
                <w:szCs w:val="20"/>
              </w:rPr>
              <w:t xml:space="preserve"> </w:t>
            </w:r>
            <w:r>
              <w:rPr>
                <w:rFonts w:hint="default"/>
                <w:bCs/>
                <w:szCs w:val="20"/>
              </w:rPr>
              <w:t xml:space="preserve">Random Access Response (RAR) </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bCs/>
                <w:szCs w:val="20"/>
              </w:rPr>
            </w:pPr>
            <w:r>
              <w:rPr>
                <w:rFonts w:hint="default"/>
                <w:bCs/>
                <w:szCs w:val="20"/>
              </w:rPr>
              <w:t>Efficient delivery (reduced overhead) of msg4 / RRCEarlyDataComplete</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right="0"/>
              <w:textAlignment w:val="baseline"/>
              <w:rPr>
                <w:rFonts w:hint="default" w:cs="Times New Roman"/>
                <w:sz w:val="20"/>
                <w:szCs w:val="20"/>
                <w:vertAlign w:val="baseline"/>
                <w:lang w:val="en-US" w:eastAsia="zh-CN"/>
              </w:rPr>
            </w:pPr>
            <w:r>
              <w:rPr>
                <w:rFonts w:hint="default"/>
                <w:bCs/>
                <w:szCs w:val="20"/>
              </w:rPr>
              <w:t>Study and specify RRM requirement, if identified [RAN4]</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the following section, we will provide the detailed discussions for IoT NTN SAN demodulation requirements based on the last meeting conclusions[2].</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lang w:val="en-US" w:eastAsia="zh-CN"/>
        </w:rPr>
        <w:t xml:space="preserve">2 </w:t>
      </w:r>
      <w:r>
        <w:rPr>
          <w:b/>
          <w:kern w:val="0"/>
          <w:sz w:val="24"/>
          <w:szCs w:val="24"/>
        </w:rPr>
        <w:t>Discussion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1"/>
          <w:szCs w:val="21"/>
          <w:highlight w:val="none"/>
          <w:lang w:val="en-US" w:eastAsia="zh-CN"/>
        </w:rPr>
        <w:t>I</w:t>
      </w:r>
      <w:r>
        <w:rPr>
          <w:rFonts w:hint="default" w:cs="Times New Roman"/>
          <w:b w:val="0"/>
          <w:bCs w:val="0"/>
          <w:kern w:val="0"/>
          <w:sz w:val="21"/>
          <w:szCs w:val="21"/>
          <w:highlight w:val="none"/>
          <w:lang w:val="en-US" w:eastAsia="zh-CN"/>
        </w:rPr>
        <w:t>oT-NTN has been specified in 3GPP RAN Rel-17, since then been optimised in Rel-18 and commercial deployment are ongoing at the moment. Based on real deployment or deployment plans further evolution of IoT-NTN is neede</w:t>
      </w:r>
      <w:r>
        <w:rPr>
          <w:rFonts w:hint="eastAsia" w:cs="Times New Roman"/>
          <w:b w:val="0"/>
          <w:bCs w:val="0"/>
          <w:kern w:val="0"/>
          <w:sz w:val="21"/>
          <w:szCs w:val="21"/>
          <w:highlight w:val="none"/>
          <w:lang w:val="en-US" w:eastAsia="zh-CN"/>
        </w:rPr>
        <w:t>d.  Currently,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therefore be studied and if beneficial being specified.</w:t>
      </w:r>
    </w:p>
    <w:p>
      <w:pPr>
        <w:widowControl w:val="0"/>
        <w:spacing w:beforeLines="100" w:afterLines="0" w:line="240" w:lineRule="auto"/>
        <w:jc w:val="both"/>
        <w:rPr>
          <w:rFonts w:hint="eastAsia"/>
          <w:b/>
          <w:bCs/>
          <w:i w:val="0"/>
          <w:iCs w:val="0"/>
          <w:szCs w:val="21"/>
          <w:lang w:val="en-US" w:eastAsia="zh-CN"/>
        </w:rPr>
      </w:pPr>
      <w:r>
        <w:rPr>
          <w:rFonts w:hint="eastAsia"/>
          <w:b/>
          <w:bCs/>
          <w:i w:val="0"/>
          <w:iCs w:val="0"/>
          <w:szCs w:val="21"/>
          <w:lang w:val="en-US" w:eastAsia="zh-CN"/>
        </w:rPr>
        <w:t>NPUSCH format 1 demodulation requirements</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At the last meeting, only one open issue remained. This was about the TDM of DMRS work assumption to single tone with 3.75kHz. </w:t>
      </w:r>
    </w:p>
    <w:p>
      <w:pPr>
        <w:rPr>
          <w:b/>
          <w:color w:val="000000" w:themeColor="text1"/>
          <w:u w:val="single"/>
          <w:lang w:val="en-US" w:eastAsia="zh-CN"/>
        </w:rPr>
      </w:pPr>
      <w:r>
        <w:rPr>
          <w:rFonts w:hint="eastAsia"/>
          <w:b/>
          <w:color w:val="000000" w:themeColor="text1"/>
          <w:u w:val="single"/>
          <w:lang w:val="en-US" w:eastAsia="zh-CN"/>
        </w:rPr>
        <w:t>DMRS pattern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eastAsia" w:eastAsia="宋体"/>
                <w:sz w:val="21"/>
                <w:szCs w:val="21"/>
                <w:lang w:val="en-US" w:eastAsia="zh-CN"/>
              </w:rPr>
              <w:t>A</w:t>
            </w:r>
            <w:r>
              <w:rPr>
                <w:rFonts w:hint="default" w:eastAsia="宋体"/>
                <w:sz w:val="21"/>
                <w:szCs w:val="21"/>
                <w:lang w:eastAsia="zh-CN"/>
              </w:rPr>
              <w:t>greement:</w:t>
            </w:r>
          </w:p>
          <w:p>
            <w:pPr>
              <w:pStyle w:val="36"/>
              <w:keepNext w:val="0"/>
              <w:keepLines w:val="0"/>
              <w:widowControl/>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bCs/>
                <w:sz w:val="21"/>
                <w:szCs w:val="21"/>
                <w:lang w:val="en-US" w:eastAsia="zh-CN"/>
              </w:rPr>
            </w:pPr>
            <w:r>
              <w:rPr>
                <w:rFonts w:hint="eastAsia" w:eastAsia="宋体"/>
                <w:color w:val="000000" w:themeColor="text1"/>
                <w:sz w:val="21"/>
                <w:szCs w:val="21"/>
                <w:lang w:val="en-US" w:eastAsia="zh-CN"/>
              </w:rPr>
              <w:t xml:space="preserve">CDM DMRS is assumed for 15kHz SCS OCC and TDM work assumption is assumed for </w:t>
            </w:r>
            <w:r>
              <w:rPr>
                <w:rFonts w:hint="default"/>
                <w:bCs/>
                <w:sz w:val="21"/>
                <w:szCs w:val="21"/>
                <w:lang w:eastAsia="zh-CN"/>
              </w:rPr>
              <w:t>3.75kHz SCS OCC</w:t>
            </w:r>
            <w:r>
              <w:rPr>
                <w:rFonts w:hint="eastAsia"/>
                <w:bCs/>
                <w:sz w:val="21"/>
                <w:szCs w:val="21"/>
                <w:lang w:val="en-US" w:eastAsia="zh-CN"/>
              </w:rPr>
              <w:t>.</w:t>
            </w:r>
          </w:p>
          <w:p>
            <w:pPr>
              <w:pStyle w:val="36"/>
              <w:keepNext w:val="0"/>
              <w:keepLines w:val="0"/>
              <w:widowControl/>
              <w:numPr>
                <w:ilvl w:val="1"/>
                <w:numId w:val="9"/>
              </w:numPr>
              <w:suppressLineNumbers w:val="0"/>
              <w:overflowPunct/>
              <w:autoSpaceDE/>
              <w:autoSpaceDN/>
              <w:adjustRightInd/>
              <w:spacing w:before="0" w:beforeAutospacing="0" w:after="120" w:afterAutospacing="0"/>
              <w:ind w:left="1440" w:right="0" w:firstLineChars="0"/>
              <w:textAlignment w:val="auto"/>
              <w:rPr>
                <w:rFonts w:hint="eastAsia"/>
                <w:b/>
                <w:bCs/>
                <w:i/>
                <w:iCs/>
                <w:szCs w:val="21"/>
                <w:vertAlign w:val="baseline"/>
                <w:lang w:val="en-US" w:eastAsia="zh-CN"/>
              </w:rPr>
            </w:pPr>
            <w:r>
              <w:rPr>
                <w:rFonts w:hint="eastAsia"/>
                <w:bCs/>
                <w:sz w:val="21"/>
                <w:szCs w:val="21"/>
                <w:lang w:val="en-US" w:eastAsia="zh-CN"/>
              </w:rPr>
              <w:t>RAN4 needs to follow RAN1</w:t>
            </w:r>
            <w:r>
              <w:rPr>
                <w:rFonts w:hint="default"/>
                <w:bCs/>
                <w:sz w:val="21"/>
                <w:szCs w:val="21"/>
                <w:lang w:val="en-US" w:eastAsia="zh-CN"/>
              </w:rPr>
              <w:t>’</w:t>
            </w:r>
            <w:r>
              <w:rPr>
                <w:rFonts w:hint="eastAsia"/>
                <w:bCs/>
                <w:sz w:val="21"/>
                <w:szCs w:val="21"/>
                <w:lang w:val="en-US" w:eastAsia="zh-CN"/>
              </w:rPr>
              <w:t xml:space="preserve">s conclusion of DMRS sequence mapping for </w:t>
            </w:r>
            <w:r>
              <w:rPr>
                <w:rFonts w:hint="default"/>
                <w:bCs/>
                <w:sz w:val="21"/>
                <w:szCs w:val="21"/>
                <w:lang w:eastAsia="zh-CN"/>
              </w:rPr>
              <w:t>TDM DMRS slots</w:t>
            </w:r>
            <w:r>
              <w:rPr>
                <w:rFonts w:hint="eastAsia"/>
                <w:bCs/>
                <w:sz w:val="21"/>
                <w:szCs w:val="21"/>
                <w:lang w:val="en-US" w:eastAsia="zh-CN"/>
              </w:rPr>
              <w:t>.</w:t>
            </w:r>
          </w:p>
        </w:tc>
      </w:tr>
    </w:tbl>
    <w:p>
      <w:pPr>
        <w:rPr>
          <w:rFonts w:hint="default"/>
          <w:lang w:val="en-US" w:eastAsia="zh-CN"/>
        </w:rPr>
      </w:pPr>
      <w:r>
        <w:rPr>
          <w:rFonts w:hint="eastAsia"/>
          <w:b w:val="0"/>
          <w:bCs/>
          <w:color w:val="000000" w:themeColor="text1"/>
          <w:u w:val="none"/>
          <w:lang w:val="en-US" w:eastAsia="zh-CN"/>
        </w:rPr>
        <w:t>In the previous meeting, RAN1 discussed two potential options for TDM work assumption, sequential mapping or dropping of samples of the original DMRS sequence in blanked slots. After RAN1 #121 meeting discussion, following conclusion was achieved. Therefore, we propose to follow RAN1</w:t>
      </w:r>
      <w:r>
        <w:rPr>
          <w:rFonts w:hint="default"/>
          <w:b w:val="0"/>
          <w:bCs/>
          <w:color w:val="000000" w:themeColor="text1"/>
          <w:u w:val="none"/>
          <w:lang w:val="en-US" w:eastAsia="zh-CN"/>
        </w:rPr>
        <w:t>’</w:t>
      </w:r>
      <w:r>
        <w:rPr>
          <w:rFonts w:hint="eastAsia"/>
          <w:b w:val="0"/>
          <w:bCs/>
          <w:color w:val="000000" w:themeColor="text1"/>
          <w:u w:val="none"/>
          <w:lang w:val="en-US" w:eastAsia="zh-CN"/>
        </w:rPr>
        <w:t>s conclusion of DMRS sequence mapping for TDM DMRS slots.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vertAlign w:val="baseline"/>
              </w:rPr>
            </w:pPr>
            <w:r>
              <w:rPr>
                <w:rFonts w:hint="default"/>
                <w:szCs w:val="20"/>
              </w:rPr>
              <w:drawing>
                <wp:inline distT="0" distB="0" distL="114300" distR="114300">
                  <wp:extent cx="6125845" cy="6775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5845" cy="677545"/>
                          </a:xfrm>
                          <a:prstGeom prst="rect">
                            <a:avLst/>
                          </a:prstGeom>
                          <a:noFill/>
                          <a:ln>
                            <a:noFill/>
                          </a:ln>
                        </pic:spPr>
                      </pic:pic>
                    </a:graphicData>
                  </a:graphic>
                </wp:inline>
              </w:drawing>
            </w:r>
          </w:p>
        </w:tc>
      </w:tr>
    </w:tbl>
    <w:p>
      <w:pPr>
        <w:widowControl w:val="0"/>
        <w:spacing w:beforeLines="100" w:afterLines="0" w:line="240" w:lineRule="auto"/>
        <w:jc w:val="both"/>
        <w:rPr>
          <w:rFonts w:hint="default" w:eastAsia="宋体"/>
          <w:b/>
          <w:bCs/>
          <w:i/>
          <w:iCs/>
          <w:lang w:val="en-US" w:eastAsia="zh-CN"/>
        </w:rPr>
      </w:pPr>
      <w:r>
        <w:rPr>
          <w:rFonts w:hint="eastAsia"/>
          <w:b/>
          <w:bCs/>
          <w:i/>
          <w:iCs/>
          <w:lang w:val="en-US" w:eastAsia="zh-CN"/>
        </w:rPr>
        <w:t>Propose 1. Propose to follow RAN1</w:t>
      </w:r>
      <w:r>
        <w:rPr>
          <w:rFonts w:hint="default"/>
          <w:b/>
          <w:bCs/>
          <w:i/>
          <w:iCs/>
          <w:lang w:val="en-US" w:eastAsia="zh-CN"/>
        </w:rPr>
        <w:t>’</w:t>
      </w:r>
      <w:r>
        <w:rPr>
          <w:rFonts w:hint="eastAsia"/>
          <w:b/>
          <w:bCs/>
          <w:i/>
          <w:iCs/>
          <w:lang w:val="en-US" w:eastAsia="zh-CN"/>
        </w:rPr>
        <w:t>s conclusion of sequential sequence mapping for TDM DMRS slots.</w:t>
      </w:r>
    </w:p>
    <w:p>
      <w:pPr>
        <w:widowControl w:val="0"/>
        <w:spacing w:beforeLines="100" w:afterLines="0" w:line="240" w:lineRule="auto"/>
        <w:jc w:val="both"/>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default"/>
          <w:b/>
          <w:bCs/>
          <w:i/>
          <w:iCs/>
          <w:strike w:val="0"/>
          <w:dstrike w:val="0"/>
          <w:szCs w:val="21"/>
          <w:lang w:val="en-US" w:eastAsia="zh-CN"/>
        </w:rPr>
      </w:pPr>
      <w:r>
        <w:rPr>
          <w:kern w:val="0"/>
          <w:sz w:val="20"/>
        </w:rPr>
        <w:t xml:space="preserve">In this contribution, </w:t>
      </w:r>
      <w:r>
        <w:rPr>
          <w:rFonts w:hint="eastAsia"/>
          <w:bCs/>
          <w:kern w:val="0"/>
          <w:szCs w:val="21"/>
        </w:rPr>
        <w:t xml:space="preserve">we give some discussions on the </w:t>
      </w:r>
      <w:r>
        <w:rPr>
          <w:rFonts w:hint="eastAsia"/>
          <w:bCs/>
          <w:kern w:val="0"/>
          <w:szCs w:val="21"/>
          <w:lang w:val="en-US" w:eastAsia="zh-CN"/>
        </w:rPr>
        <w:t>demodulation requirements</w:t>
      </w:r>
      <w:r>
        <w:rPr>
          <w:rFonts w:hint="eastAsia"/>
          <w:bCs/>
          <w:kern w:val="0"/>
          <w:szCs w:val="21"/>
        </w:rPr>
        <w:t xml:space="preserve"> related to</w:t>
      </w:r>
      <w:r>
        <w:rPr>
          <w:rFonts w:hint="eastAsia"/>
          <w:bCs/>
          <w:kern w:val="0"/>
          <w:szCs w:val="21"/>
          <w:lang w:val="en-US" w:eastAsia="zh-CN"/>
        </w:rPr>
        <w:t xml:space="preserve"> Rel-19 IoT-NTN</w:t>
      </w:r>
      <w:r>
        <w:rPr>
          <w:rFonts w:hint="eastAsia"/>
          <w:bCs/>
          <w:kern w:val="0"/>
          <w:szCs w:val="21"/>
        </w:rPr>
        <w:t>, The conclusions are:</w:t>
      </w:r>
    </w:p>
    <w:p>
      <w:pPr>
        <w:widowControl w:val="0"/>
        <w:spacing w:beforeLines="100" w:afterLines="0" w:line="240" w:lineRule="auto"/>
        <w:jc w:val="both"/>
        <w:rPr>
          <w:rFonts w:hint="default"/>
          <w:b/>
          <w:bCs/>
          <w:i/>
          <w:iCs/>
          <w:strike w:val="0"/>
          <w:dstrike w:val="0"/>
          <w:szCs w:val="21"/>
          <w:lang w:val="en-US" w:eastAsia="zh-CN"/>
        </w:rPr>
      </w:pPr>
      <w:r>
        <w:rPr>
          <w:rFonts w:hint="eastAsia"/>
          <w:b/>
          <w:bCs/>
          <w:i/>
          <w:iCs/>
          <w:lang w:val="en-US" w:eastAsia="zh-CN"/>
        </w:rPr>
        <w:t>Propose 1. Propose to follow RAN1</w:t>
      </w:r>
      <w:r>
        <w:rPr>
          <w:rFonts w:hint="default"/>
          <w:b/>
          <w:bCs/>
          <w:i/>
          <w:iCs/>
          <w:lang w:val="en-US" w:eastAsia="zh-CN"/>
        </w:rPr>
        <w:t>’</w:t>
      </w:r>
      <w:r>
        <w:rPr>
          <w:rFonts w:hint="eastAsia"/>
          <w:b/>
          <w:bCs/>
          <w:i/>
          <w:iCs/>
          <w:lang w:val="en-US" w:eastAsia="zh-CN"/>
        </w:rPr>
        <w:t>s conclusion of sequential sequence mapping for TDM DMRS slots.</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RP-242397, Revised WID on Non-Terrestrial Networks (NTN) for Internet of Things (IoT) Phase 3.</w:t>
      </w:r>
    </w:p>
    <w:p>
      <w:pPr>
        <w:pStyle w:val="36"/>
        <w:numPr>
          <w:ilvl w:val="0"/>
          <w:numId w:val="10"/>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R4-2508756</w:t>
      </w:r>
      <w:r>
        <w:rPr>
          <w:rFonts w:hint="eastAsia" w:eastAsia="宋体" w:cstheme="minorBidi"/>
          <w:kern w:val="0"/>
          <w:sz w:val="21"/>
          <w:szCs w:val="21"/>
          <w:lang w:val="en-US" w:eastAsia="zh-CN"/>
        </w:rPr>
        <w:t xml:space="preserve">, Way Forward for [115][334] IoT_NTN_Ph3_demod, ZTE Corporation. </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3"/>
  </w:num>
  <w:num w:numId="4">
    <w:abstractNumId w:val="4"/>
  </w:num>
  <w:num w:numId="5">
    <w:abstractNumId w:val="1"/>
  </w:num>
  <w:num w:numId="6">
    <w:abstractNumId w:val="0"/>
  </w:num>
  <w:num w:numId="7">
    <w:abstractNumId w:val="5"/>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5CDF"/>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1A46F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80A31"/>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77B84"/>
    <w:rsid w:val="080C7FA0"/>
    <w:rsid w:val="0829247C"/>
    <w:rsid w:val="082D5BBC"/>
    <w:rsid w:val="08341060"/>
    <w:rsid w:val="08787FF0"/>
    <w:rsid w:val="088178D8"/>
    <w:rsid w:val="0889002B"/>
    <w:rsid w:val="088F053E"/>
    <w:rsid w:val="08A200D8"/>
    <w:rsid w:val="08A44DA6"/>
    <w:rsid w:val="08AA245A"/>
    <w:rsid w:val="08BA6E24"/>
    <w:rsid w:val="08C562FD"/>
    <w:rsid w:val="08CA2731"/>
    <w:rsid w:val="08CA27B1"/>
    <w:rsid w:val="08CE6218"/>
    <w:rsid w:val="08E56C64"/>
    <w:rsid w:val="08E916DF"/>
    <w:rsid w:val="08FC0AA5"/>
    <w:rsid w:val="09291241"/>
    <w:rsid w:val="093063BD"/>
    <w:rsid w:val="09306537"/>
    <w:rsid w:val="09355076"/>
    <w:rsid w:val="09392119"/>
    <w:rsid w:val="09445E95"/>
    <w:rsid w:val="09543B3B"/>
    <w:rsid w:val="09600FBD"/>
    <w:rsid w:val="0963672B"/>
    <w:rsid w:val="098143BC"/>
    <w:rsid w:val="098207F5"/>
    <w:rsid w:val="099E309A"/>
    <w:rsid w:val="099F436D"/>
    <w:rsid w:val="09BD407A"/>
    <w:rsid w:val="09C96CE9"/>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AD6492"/>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31BB0"/>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1182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263AD"/>
    <w:rsid w:val="18B50543"/>
    <w:rsid w:val="18CD7A02"/>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BF4DC5"/>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4040D"/>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D9385E"/>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5872F9"/>
    <w:rsid w:val="245943D9"/>
    <w:rsid w:val="245E6B64"/>
    <w:rsid w:val="2463385E"/>
    <w:rsid w:val="246B247D"/>
    <w:rsid w:val="248747CF"/>
    <w:rsid w:val="24967323"/>
    <w:rsid w:val="249D5FC8"/>
    <w:rsid w:val="24A1538E"/>
    <w:rsid w:val="24A3442A"/>
    <w:rsid w:val="24B918AE"/>
    <w:rsid w:val="24B9450F"/>
    <w:rsid w:val="24C83F94"/>
    <w:rsid w:val="24F60CDA"/>
    <w:rsid w:val="24F72435"/>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7121B2"/>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3E6BAB"/>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4E34B9"/>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CA5D90"/>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754E9"/>
    <w:rsid w:val="355910C1"/>
    <w:rsid w:val="35621404"/>
    <w:rsid w:val="356652C5"/>
    <w:rsid w:val="356678B4"/>
    <w:rsid w:val="3573649F"/>
    <w:rsid w:val="357E4B0A"/>
    <w:rsid w:val="35866D7F"/>
    <w:rsid w:val="358F6BDF"/>
    <w:rsid w:val="359F4D80"/>
    <w:rsid w:val="35A26D98"/>
    <w:rsid w:val="35C0105B"/>
    <w:rsid w:val="35C06D50"/>
    <w:rsid w:val="35D24294"/>
    <w:rsid w:val="35D85F6C"/>
    <w:rsid w:val="35E3624C"/>
    <w:rsid w:val="35FF6F3C"/>
    <w:rsid w:val="36075F27"/>
    <w:rsid w:val="36121506"/>
    <w:rsid w:val="361D7A43"/>
    <w:rsid w:val="361F3323"/>
    <w:rsid w:val="362E33B8"/>
    <w:rsid w:val="362E4F6B"/>
    <w:rsid w:val="36386400"/>
    <w:rsid w:val="36402EFA"/>
    <w:rsid w:val="364271C9"/>
    <w:rsid w:val="36496A51"/>
    <w:rsid w:val="365623F6"/>
    <w:rsid w:val="36670090"/>
    <w:rsid w:val="366D4645"/>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36707"/>
    <w:rsid w:val="3734159D"/>
    <w:rsid w:val="37382526"/>
    <w:rsid w:val="374E78C1"/>
    <w:rsid w:val="3758590A"/>
    <w:rsid w:val="37602E60"/>
    <w:rsid w:val="378229A7"/>
    <w:rsid w:val="3784394E"/>
    <w:rsid w:val="37987437"/>
    <w:rsid w:val="37994D35"/>
    <w:rsid w:val="37A21E38"/>
    <w:rsid w:val="37BB1155"/>
    <w:rsid w:val="37C94031"/>
    <w:rsid w:val="37CA042E"/>
    <w:rsid w:val="37D44549"/>
    <w:rsid w:val="37D77B09"/>
    <w:rsid w:val="37D97EDE"/>
    <w:rsid w:val="380D7E8A"/>
    <w:rsid w:val="382B1BDF"/>
    <w:rsid w:val="382E392C"/>
    <w:rsid w:val="38342E90"/>
    <w:rsid w:val="384A24FB"/>
    <w:rsid w:val="384B7332"/>
    <w:rsid w:val="385056AF"/>
    <w:rsid w:val="38677E7A"/>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C1274D"/>
    <w:rsid w:val="40C93CB0"/>
    <w:rsid w:val="40EC7D18"/>
    <w:rsid w:val="40ED11A0"/>
    <w:rsid w:val="40F82226"/>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21348"/>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6B3A63"/>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416E80"/>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4D5C5C"/>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3300B"/>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685562"/>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9430B2"/>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04241"/>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62809"/>
    <w:rsid w:val="5E795832"/>
    <w:rsid w:val="5E830708"/>
    <w:rsid w:val="5E831398"/>
    <w:rsid w:val="5E85633A"/>
    <w:rsid w:val="5E921A45"/>
    <w:rsid w:val="5E975993"/>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6B5BC0"/>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403E"/>
    <w:rsid w:val="64766F57"/>
    <w:rsid w:val="64856993"/>
    <w:rsid w:val="648939AA"/>
    <w:rsid w:val="649B1AC2"/>
    <w:rsid w:val="64A7467B"/>
    <w:rsid w:val="64C86505"/>
    <w:rsid w:val="64FB0825"/>
    <w:rsid w:val="64FE700F"/>
    <w:rsid w:val="6500327F"/>
    <w:rsid w:val="6506609B"/>
    <w:rsid w:val="65083216"/>
    <w:rsid w:val="650E3D55"/>
    <w:rsid w:val="65374FD9"/>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6621C"/>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0FB8"/>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4D2DB0"/>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38E2"/>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91B8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E71573"/>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3B0883"/>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9D0BC0"/>
    <w:rsid w:val="79C5707E"/>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0A1B69"/>
    <w:rsid w:val="7B160FC2"/>
    <w:rsid w:val="7B274176"/>
    <w:rsid w:val="7B2B3677"/>
    <w:rsid w:val="7B356407"/>
    <w:rsid w:val="7B401C79"/>
    <w:rsid w:val="7B440ED6"/>
    <w:rsid w:val="7B4678D7"/>
    <w:rsid w:val="7B4B2A93"/>
    <w:rsid w:val="7B527515"/>
    <w:rsid w:val="7B560A24"/>
    <w:rsid w:val="7B5922B3"/>
    <w:rsid w:val="7B890A24"/>
    <w:rsid w:val="7B9B691F"/>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17E34"/>
    <w:rsid w:val="7D62117D"/>
    <w:rsid w:val="7D794101"/>
    <w:rsid w:val="7D7E2111"/>
    <w:rsid w:val="7D834A16"/>
    <w:rsid w:val="7D9D438F"/>
    <w:rsid w:val="7DA514D2"/>
    <w:rsid w:val="7DBE1B45"/>
    <w:rsid w:val="7DC03698"/>
    <w:rsid w:val="7DCD4EB5"/>
    <w:rsid w:val="7DEE3937"/>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EFF16BC"/>
    <w:rsid w:val="7F0C2035"/>
    <w:rsid w:val="7F0F7992"/>
    <w:rsid w:val="7F145201"/>
    <w:rsid w:val="7F1B0865"/>
    <w:rsid w:val="7F2666FD"/>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2025-08-15T12:29:30Z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BCAC50F3B8124BD3A5E23544F20100B4</vt:lpwstr>
  </property>
</Properties>
</file>